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田辉杰</w:t>
      </w:r>
      <w:r>
        <w:rPr>
          <w:rFonts w:hint="eastAsia"/>
          <w:sz w:val="15"/>
          <w:szCs w:val="15"/>
          <w:highlight w:val="none"/>
        </w:rPr>
        <w:t>，</w:t>
      </w:r>
      <w:r>
        <w:rPr>
          <w:rFonts w:hint="eastAsia"/>
          <w:sz w:val="15"/>
          <w:szCs w:val="15"/>
          <w:highlight w:val="none"/>
          <w:lang w:val="en-US" w:eastAsia="zh-CN"/>
        </w:rPr>
        <w:t>130126198710242712</w:t>
      </w:r>
      <w:r>
        <w:rPr>
          <w:rFonts w:hint="eastAsia"/>
          <w:sz w:val="15"/>
          <w:szCs w:val="15"/>
        </w:rPr>
        <w:t xml:space="preserve">  </w:t>
      </w:r>
      <w:r>
        <w:rPr>
          <w:rFonts w:hint="eastAsia"/>
          <w:sz w:val="15"/>
          <w:szCs w:val="15"/>
          <w:lang w:val="en-US" w:eastAsia="zh-CN"/>
        </w:rPr>
        <w:t>冀F06253D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