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刘黎明</w:t>
      </w:r>
      <w:r>
        <w:rPr>
          <w:rFonts w:hint="eastAsia"/>
          <w:sz w:val="15"/>
          <w:szCs w:val="15"/>
          <w:highlight w:val="none"/>
        </w:rPr>
        <w:t>，</w:t>
      </w:r>
      <w:r>
        <w:rPr>
          <w:rFonts w:hint="eastAsia"/>
          <w:sz w:val="15"/>
          <w:szCs w:val="15"/>
          <w:highlight w:val="none"/>
          <w:lang w:val="en-US" w:eastAsia="zh-CN"/>
        </w:rPr>
        <w:t>130126198709122756</w:t>
      </w:r>
      <w:r>
        <w:rPr>
          <w:rFonts w:hint="eastAsia"/>
          <w:sz w:val="15"/>
          <w:szCs w:val="15"/>
        </w:rPr>
        <w:t xml:space="preserve">  </w:t>
      </w:r>
      <w:r>
        <w:rPr>
          <w:rFonts w:hint="eastAsia"/>
          <w:sz w:val="15"/>
          <w:szCs w:val="15"/>
          <w:lang w:val="en-US" w:eastAsia="zh-CN"/>
        </w:rPr>
        <w:t>冀A682KX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