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刘莎莎</w:t>
      </w:r>
      <w:r>
        <w:rPr>
          <w:rFonts w:hint="eastAsia"/>
          <w:sz w:val="15"/>
          <w:szCs w:val="15"/>
          <w:highlight w:val="none"/>
        </w:rPr>
        <w:t>，</w:t>
      </w:r>
      <w:r>
        <w:rPr>
          <w:rFonts w:hint="eastAsia"/>
          <w:sz w:val="15"/>
          <w:szCs w:val="15"/>
          <w:highlight w:val="none"/>
          <w:lang w:val="en-US" w:eastAsia="zh-CN"/>
        </w:rPr>
        <w:t>130126198708293027</w:t>
      </w:r>
      <w:r>
        <w:rPr>
          <w:rFonts w:hint="eastAsia"/>
          <w:sz w:val="15"/>
          <w:szCs w:val="15"/>
        </w:rPr>
        <w:t xml:space="preserve">  </w:t>
      </w:r>
      <w:r>
        <w:rPr>
          <w:rFonts w:hint="eastAsia"/>
          <w:sz w:val="15"/>
          <w:szCs w:val="15"/>
          <w:lang w:val="en-US" w:eastAsia="zh-CN"/>
        </w:rPr>
        <w:t>冀AE7424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