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冯会峰</w:t>
      </w:r>
      <w:r>
        <w:rPr>
          <w:rFonts w:hint="eastAsia"/>
          <w:sz w:val="15"/>
          <w:szCs w:val="15"/>
          <w:highlight w:val="none"/>
        </w:rPr>
        <w:t>，</w:t>
      </w:r>
      <w:r>
        <w:rPr>
          <w:rFonts w:hint="eastAsia"/>
          <w:sz w:val="15"/>
          <w:szCs w:val="15"/>
          <w:highlight w:val="none"/>
          <w:lang w:val="en-US" w:eastAsia="zh-CN"/>
        </w:rPr>
        <w:t>13012619870816273X</w:t>
      </w:r>
      <w:r>
        <w:rPr>
          <w:rFonts w:hint="eastAsia"/>
          <w:sz w:val="15"/>
          <w:szCs w:val="15"/>
        </w:rPr>
        <w:t xml:space="preserve">  </w:t>
      </w:r>
      <w:r>
        <w:rPr>
          <w:rFonts w:hint="eastAsia"/>
          <w:sz w:val="15"/>
          <w:szCs w:val="15"/>
          <w:lang w:val="en-US" w:eastAsia="zh-CN"/>
        </w:rPr>
        <w:t>沪A88338D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