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张二雷</w:t>
      </w:r>
      <w:r>
        <w:rPr>
          <w:rFonts w:hint="eastAsia"/>
          <w:sz w:val="15"/>
          <w:szCs w:val="15"/>
          <w:highlight w:val="none"/>
        </w:rPr>
        <w:t>，</w:t>
      </w:r>
      <w:r>
        <w:rPr>
          <w:rFonts w:hint="eastAsia"/>
          <w:sz w:val="15"/>
          <w:szCs w:val="15"/>
          <w:highlight w:val="none"/>
          <w:lang w:val="en-US" w:eastAsia="zh-CN"/>
        </w:rPr>
        <w:t>130126198706133038</w:t>
      </w:r>
      <w:r>
        <w:rPr>
          <w:rFonts w:hint="eastAsia"/>
          <w:sz w:val="15"/>
          <w:szCs w:val="15"/>
        </w:rPr>
        <w:t xml:space="preserve">  </w:t>
      </w:r>
      <w:r>
        <w:rPr>
          <w:rFonts w:hint="eastAsia"/>
          <w:sz w:val="15"/>
          <w:szCs w:val="15"/>
          <w:lang w:val="en-US" w:eastAsia="zh-CN"/>
        </w:rPr>
        <w:t>冀A17H24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