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赵增录</w:t>
      </w:r>
      <w:r>
        <w:rPr>
          <w:rFonts w:hint="eastAsia"/>
          <w:sz w:val="15"/>
          <w:szCs w:val="15"/>
          <w:highlight w:val="none"/>
        </w:rPr>
        <w:t>，</w:t>
      </w:r>
      <w:r>
        <w:rPr>
          <w:rFonts w:hint="eastAsia"/>
          <w:sz w:val="15"/>
          <w:szCs w:val="15"/>
          <w:highlight w:val="none"/>
          <w:lang w:val="en-US" w:eastAsia="zh-CN"/>
        </w:rPr>
        <w:t>130126198705232712</w:t>
      </w:r>
      <w:r>
        <w:rPr>
          <w:rFonts w:hint="eastAsia"/>
          <w:sz w:val="15"/>
          <w:szCs w:val="15"/>
        </w:rPr>
        <w:t xml:space="preserve">  </w:t>
      </w:r>
      <w:r>
        <w:rPr>
          <w:rFonts w:hint="eastAsia"/>
          <w:sz w:val="15"/>
          <w:szCs w:val="15"/>
          <w:lang w:val="en-US" w:eastAsia="zh-CN"/>
        </w:rPr>
        <w:t>冀A28301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