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袁振辉</w:t>
      </w:r>
      <w:r>
        <w:rPr>
          <w:rFonts w:hint="eastAsia"/>
          <w:sz w:val="15"/>
          <w:szCs w:val="15"/>
          <w:highlight w:val="none"/>
        </w:rPr>
        <w:t>，</w:t>
      </w:r>
      <w:r>
        <w:rPr>
          <w:rFonts w:hint="eastAsia"/>
          <w:sz w:val="15"/>
          <w:szCs w:val="15"/>
          <w:highlight w:val="none"/>
          <w:lang w:val="en-US" w:eastAsia="zh-CN"/>
        </w:rPr>
        <w:t>130126198701113011</w:t>
      </w:r>
      <w:r>
        <w:rPr>
          <w:rFonts w:hint="eastAsia"/>
          <w:sz w:val="15"/>
          <w:szCs w:val="15"/>
        </w:rPr>
        <w:t xml:space="preserve">  </w:t>
      </w:r>
      <w:r>
        <w:rPr>
          <w:rFonts w:hint="eastAsia"/>
          <w:sz w:val="15"/>
          <w:szCs w:val="15"/>
          <w:lang w:val="en-US" w:eastAsia="zh-CN"/>
        </w:rPr>
        <w:t>冀AV4447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