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杜娟娟</w:t>
      </w:r>
      <w:r>
        <w:rPr>
          <w:rFonts w:hint="eastAsia"/>
          <w:sz w:val="15"/>
          <w:szCs w:val="15"/>
          <w:highlight w:val="none"/>
        </w:rPr>
        <w:t>，</w:t>
      </w:r>
      <w:r>
        <w:rPr>
          <w:rFonts w:hint="eastAsia"/>
          <w:sz w:val="15"/>
          <w:szCs w:val="15"/>
          <w:highlight w:val="none"/>
          <w:lang w:val="en-US" w:eastAsia="zh-CN"/>
        </w:rPr>
        <w:t>130126198612241521</w:t>
      </w:r>
      <w:r>
        <w:rPr>
          <w:rFonts w:hint="eastAsia"/>
          <w:sz w:val="15"/>
          <w:szCs w:val="15"/>
        </w:rPr>
        <w:t xml:space="preserve">  </w:t>
      </w:r>
      <w:r>
        <w:rPr>
          <w:rFonts w:hint="eastAsia"/>
          <w:sz w:val="15"/>
          <w:szCs w:val="15"/>
          <w:lang w:val="en-US" w:eastAsia="zh-CN"/>
        </w:rPr>
        <w:t>沪A68203D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