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赵二江</w:t>
      </w:r>
      <w:r>
        <w:rPr>
          <w:rFonts w:hint="eastAsia"/>
          <w:sz w:val="15"/>
          <w:szCs w:val="15"/>
          <w:highlight w:val="none"/>
        </w:rPr>
        <w:t>，</w:t>
      </w:r>
      <w:r>
        <w:rPr>
          <w:rFonts w:hint="eastAsia"/>
          <w:sz w:val="15"/>
          <w:szCs w:val="15"/>
          <w:highlight w:val="none"/>
          <w:lang w:val="en-US" w:eastAsia="zh-CN"/>
        </w:rPr>
        <w:t>130126198612082719</w:t>
      </w:r>
      <w:r>
        <w:rPr>
          <w:rFonts w:hint="eastAsia"/>
          <w:sz w:val="15"/>
          <w:szCs w:val="15"/>
        </w:rPr>
        <w:t xml:space="preserve">  </w:t>
      </w:r>
      <w:r>
        <w:rPr>
          <w:rFonts w:hint="eastAsia"/>
          <w:sz w:val="15"/>
          <w:szCs w:val="15"/>
          <w:lang w:val="en-US" w:eastAsia="zh-CN"/>
        </w:rPr>
        <w:t>冀A93371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