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刘路路</w:t>
      </w:r>
      <w:r>
        <w:rPr>
          <w:rFonts w:hint="eastAsia"/>
          <w:sz w:val="15"/>
          <w:szCs w:val="15"/>
          <w:highlight w:val="none"/>
        </w:rPr>
        <w:t>，</w:t>
      </w:r>
      <w:r>
        <w:rPr>
          <w:rFonts w:hint="eastAsia"/>
          <w:sz w:val="15"/>
          <w:szCs w:val="15"/>
          <w:highlight w:val="none"/>
          <w:lang w:val="en-US" w:eastAsia="zh-CN"/>
        </w:rPr>
        <w:t>130126198611220024</w:t>
      </w:r>
      <w:r>
        <w:rPr>
          <w:rFonts w:hint="eastAsia"/>
          <w:sz w:val="15"/>
          <w:szCs w:val="15"/>
        </w:rPr>
        <w:t xml:space="preserve">  </w:t>
      </w:r>
      <w:r>
        <w:rPr>
          <w:rFonts w:hint="eastAsia"/>
          <w:sz w:val="15"/>
          <w:szCs w:val="15"/>
          <w:lang w:val="en-US" w:eastAsia="zh-CN"/>
        </w:rPr>
        <w:t>冀A533AQ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