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孟承彭</w:t>
      </w:r>
      <w:r>
        <w:rPr>
          <w:rFonts w:hint="eastAsia"/>
          <w:sz w:val="15"/>
          <w:szCs w:val="15"/>
          <w:highlight w:val="none"/>
        </w:rPr>
        <w:t>，</w:t>
      </w:r>
      <w:r>
        <w:rPr>
          <w:rFonts w:hint="eastAsia"/>
          <w:sz w:val="15"/>
          <w:szCs w:val="15"/>
          <w:highlight w:val="none"/>
          <w:lang w:val="en-US" w:eastAsia="zh-CN"/>
        </w:rPr>
        <w:t>130126198611170012</w:t>
      </w:r>
      <w:r>
        <w:rPr>
          <w:rFonts w:hint="eastAsia"/>
          <w:sz w:val="15"/>
          <w:szCs w:val="15"/>
        </w:rPr>
        <w:t xml:space="preserve">  </w:t>
      </w:r>
      <w:r>
        <w:rPr>
          <w:rFonts w:hint="eastAsia"/>
          <w:sz w:val="15"/>
          <w:szCs w:val="15"/>
          <w:lang w:val="en-US" w:eastAsia="zh-CN"/>
        </w:rPr>
        <w:t>冀ADY794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