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贾建荣</w:t>
      </w:r>
      <w:r>
        <w:rPr>
          <w:rFonts w:hint="eastAsia"/>
          <w:sz w:val="15"/>
          <w:szCs w:val="15"/>
          <w:highlight w:val="none"/>
        </w:rPr>
        <w:t>，</w:t>
      </w:r>
      <w:r>
        <w:rPr>
          <w:rFonts w:hint="eastAsia"/>
          <w:sz w:val="15"/>
          <w:szCs w:val="15"/>
          <w:highlight w:val="none"/>
          <w:lang w:val="en-US" w:eastAsia="zh-CN"/>
        </w:rPr>
        <w:t>130126198610151821</w:t>
      </w:r>
      <w:r>
        <w:rPr>
          <w:rFonts w:hint="eastAsia"/>
          <w:sz w:val="15"/>
          <w:szCs w:val="15"/>
        </w:rPr>
        <w:t xml:space="preserve">  </w:t>
      </w:r>
      <w:r>
        <w:rPr>
          <w:rFonts w:hint="eastAsia"/>
          <w:sz w:val="15"/>
          <w:szCs w:val="15"/>
          <w:lang w:val="en-US" w:eastAsia="zh-CN"/>
        </w:rPr>
        <w:t>冀A8325W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