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冯荣艳</w:t>
      </w:r>
      <w:r>
        <w:rPr>
          <w:rFonts w:hint="eastAsia"/>
          <w:sz w:val="15"/>
          <w:szCs w:val="15"/>
          <w:highlight w:val="none"/>
        </w:rPr>
        <w:t>，</w:t>
      </w:r>
      <w:r>
        <w:rPr>
          <w:rFonts w:hint="eastAsia"/>
          <w:sz w:val="15"/>
          <w:szCs w:val="15"/>
          <w:highlight w:val="none"/>
          <w:lang w:val="en-US" w:eastAsia="zh-CN"/>
        </w:rPr>
        <w:t>130126198609052746</w:t>
      </w:r>
      <w:r>
        <w:rPr>
          <w:rFonts w:hint="eastAsia"/>
          <w:sz w:val="15"/>
          <w:szCs w:val="15"/>
        </w:rPr>
        <w:t xml:space="preserve">  </w:t>
      </w:r>
      <w:r>
        <w:rPr>
          <w:rFonts w:hint="eastAsia"/>
          <w:sz w:val="15"/>
          <w:szCs w:val="15"/>
          <w:lang w:val="en-US" w:eastAsia="zh-CN"/>
        </w:rPr>
        <w:t>沪A80069D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