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辛红毅</w:t>
      </w:r>
      <w:r>
        <w:rPr>
          <w:rFonts w:hint="eastAsia"/>
          <w:sz w:val="15"/>
          <w:szCs w:val="15"/>
          <w:highlight w:val="none"/>
        </w:rPr>
        <w:t>，</w:t>
      </w:r>
      <w:r>
        <w:rPr>
          <w:rFonts w:hint="eastAsia"/>
          <w:sz w:val="15"/>
          <w:szCs w:val="15"/>
          <w:highlight w:val="none"/>
          <w:lang w:val="en-US" w:eastAsia="zh-CN"/>
        </w:rPr>
        <w:t>130126198608162759</w:t>
      </w:r>
      <w:r>
        <w:rPr>
          <w:rFonts w:hint="eastAsia"/>
          <w:sz w:val="15"/>
          <w:szCs w:val="15"/>
        </w:rPr>
        <w:t xml:space="preserve">  </w:t>
      </w:r>
      <w:r>
        <w:rPr>
          <w:rFonts w:hint="eastAsia"/>
          <w:sz w:val="15"/>
          <w:szCs w:val="15"/>
          <w:lang w:val="en-US" w:eastAsia="zh-CN"/>
        </w:rPr>
        <w:t>沪A75858D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