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苏建虎</w:t>
      </w:r>
      <w:r>
        <w:rPr>
          <w:rFonts w:hint="eastAsia"/>
          <w:sz w:val="15"/>
          <w:szCs w:val="15"/>
          <w:highlight w:val="none"/>
        </w:rPr>
        <w:t>，</w:t>
      </w:r>
      <w:r>
        <w:rPr>
          <w:rFonts w:hint="eastAsia"/>
          <w:sz w:val="15"/>
          <w:szCs w:val="15"/>
          <w:highlight w:val="none"/>
          <w:lang w:val="en-US" w:eastAsia="zh-CN"/>
        </w:rPr>
        <w:t>130126198605160037</w:t>
      </w:r>
      <w:r>
        <w:rPr>
          <w:rFonts w:hint="eastAsia"/>
          <w:sz w:val="15"/>
          <w:szCs w:val="15"/>
        </w:rPr>
        <w:t xml:space="preserve">  </w:t>
      </w:r>
      <w:r>
        <w:rPr>
          <w:rFonts w:hint="eastAsia"/>
          <w:sz w:val="15"/>
          <w:szCs w:val="15"/>
          <w:lang w:val="en-US" w:eastAsia="zh-CN"/>
        </w:rPr>
        <w:t>冀ATA936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