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索懂辉</w:t>
      </w:r>
      <w:r>
        <w:rPr>
          <w:rFonts w:hint="eastAsia"/>
          <w:sz w:val="15"/>
          <w:szCs w:val="15"/>
          <w:highlight w:val="none"/>
        </w:rPr>
        <w:t>，</w:t>
      </w:r>
      <w:r>
        <w:rPr>
          <w:rFonts w:hint="eastAsia"/>
          <w:sz w:val="15"/>
          <w:szCs w:val="15"/>
          <w:highlight w:val="none"/>
          <w:lang w:val="en-US" w:eastAsia="zh-CN"/>
        </w:rPr>
        <w:t>130126198605153013</w:t>
      </w:r>
      <w:r>
        <w:rPr>
          <w:rFonts w:hint="eastAsia"/>
          <w:sz w:val="15"/>
          <w:szCs w:val="15"/>
        </w:rPr>
        <w:t xml:space="preserve">  </w:t>
      </w:r>
      <w:r>
        <w:rPr>
          <w:rFonts w:hint="eastAsia"/>
          <w:sz w:val="15"/>
          <w:szCs w:val="15"/>
          <w:lang w:val="en-US" w:eastAsia="zh-CN"/>
        </w:rPr>
        <w:t>冀AKS808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