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郎卫卫</w:t>
      </w:r>
      <w:r>
        <w:rPr>
          <w:rFonts w:hint="eastAsia"/>
          <w:sz w:val="15"/>
          <w:szCs w:val="15"/>
          <w:highlight w:val="none"/>
        </w:rPr>
        <w:t>，</w:t>
      </w:r>
      <w:r>
        <w:rPr>
          <w:rFonts w:hint="eastAsia"/>
          <w:sz w:val="15"/>
          <w:szCs w:val="15"/>
          <w:highlight w:val="none"/>
          <w:lang w:val="en-US" w:eastAsia="zh-CN"/>
        </w:rPr>
        <w:t>130126198605113310</w:t>
      </w:r>
      <w:r>
        <w:rPr>
          <w:rFonts w:hint="eastAsia"/>
          <w:sz w:val="15"/>
          <w:szCs w:val="15"/>
        </w:rPr>
        <w:t xml:space="preserve">  </w:t>
      </w:r>
      <w:r>
        <w:rPr>
          <w:rFonts w:hint="eastAsia"/>
          <w:sz w:val="15"/>
          <w:szCs w:val="15"/>
          <w:lang w:val="en-US" w:eastAsia="zh-CN"/>
        </w:rPr>
        <w:t>冀A43477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