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张晓飞</w:t>
      </w:r>
      <w:r>
        <w:rPr>
          <w:rFonts w:hint="eastAsia"/>
          <w:sz w:val="15"/>
          <w:szCs w:val="15"/>
          <w:highlight w:val="none"/>
        </w:rPr>
        <w:t>，</w:t>
      </w:r>
      <w:r>
        <w:rPr>
          <w:rFonts w:hint="eastAsia"/>
          <w:sz w:val="15"/>
          <w:szCs w:val="15"/>
          <w:highlight w:val="none"/>
          <w:lang w:val="en-US" w:eastAsia="zh-CN"/>
        </w:rPr>
        <w:t>13012619860204003X</w:t>
      </w:r>
      <w:r>
        <w:rPr>
          <w:rFonts w:hint="eastAsia"/>
          <w:sz w:val="15"/>
          <w:szCs w:val="15"/>
        </w:rPr>
        <w:t xml:space="preserve">  </w:t>
      </w:r>
      <w:r>
        <w:rPr>
          <w:rFonts w:hint="eastAsia"/>
          <w:sz w:val="15"/>
          <w:szCs w:val="15"/>
          <w:lang w:val="en-US" w:eastAsia="zh-CN"/>
        </w:rPr>
        <w:t>冀A53248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