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韩琦</w:t>
      </w:r>
      <w:r>
        <w:rPr>
          <w:rFonts w:hint="eastAsia"/>
          <w:sz w:val="15"/>
          <w:szCs w:val="15"/>
          <w:highlight w:val="none"/>
        </w:rPr>
        <w:t>，</w:t>
      </w:r>
      <w:r>
        <w:rPr>
          <w:rFonts w:hint="eastAsia"/>
          <w:sz w:val="15"/>
          <w:szCs w:val="15"/>
          <w:highlight w:val="none"/>
          <w:lang w:val="en-US" w:eastAsia="zh-CN"/>
        </w:rPr>
        <w:t>130126198512032714</w:t>
      </w:r>
      <w:r>
        <w:rPr>
          <w:rFonts w:hint="eastAsia"/>
          <w:sz w:val="15"/>
          <w:szCs w:val="15"/>
        </w:rPr>
        <w:t xml:space="preserve">  </w:t>
      </w:r>
      <w:r>
        <w:rPr>
          <w:rFonts w:hint="eastAsia"/>
          <w:sz w:val="15"/>
          <w:szCs w:val="15"/>
          <w:lang w:val="en-US" w:eastAsia="zh-CN"/>
        </w:rPr>
        <w:t>冀A4335H</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