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聂江波</w:t>
      </w:r>
      <w:r>
        <w:rPr>
          <w:rFonts w:hint="eastAsia"/>
          <w:sz w:val="15"/>
          <w:szCs w:val="15"/>
          <w:highlight w:val="none"/>
        </w:rPr>
        <w:t>，</w:t>
      </w:r>
      <w:r>
        <w:rPr>
          <w:rFonts w:hint="eastAsia"/>
          <w:sz w:val="15"/>
          <w:szCs w:val="15"/>
          <w:highlight w:val="none"/>
          <w:lang w:val="en-US" w:eastAsia="zh-CN"/>
        </w:rPr>
        <w:t>130126198511040675</w:t>
      </w:r>
      <w:r>
        <w:rPr>
          <w:rFonts w:hint="eastAsia"/>
          <w:sz w:val="15"/>
          <w:szCs w:val="15"/>
        </w:rPr>
        <w:t xml:space="preserve">  </w:t>
      </w:r>
      <w:r>
        <w:rPr>
          <w:rFonts w:hint="eastAsia"/>
          <w:sz w:val="15"/>
          <w:szCs w:val="15"/>
          <w:lang w:val="en-US" w:eastAsia="zh-CN"/>
        </w:rPr>
        <w:t>冀A45956D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