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左永全</w:t>
      </w:r>
      <w:r>
        <w:rPr>
          <w:rFonts w:hint="eastAsia"/>
          <w:sz w:val="15"/>
          <w:szCs w:val="15"/>
          <w:highlight w:val="none"/>
        </w:rPr>
        <w:t>，</w:t>
      </w:r>
      <w:r>
        <w:rPr>
          <w:rFonts w:hint="eastAsia"/>
          <w:sz w:val="15"/>
          <w:szCs w:val="15"/>
          <w:highlight w:val="none"/>
          <w:lang w:val="en-US" w:eastAsia="zh-CN"/>
        </w:rPr>
        <w:t>130126198510150610</w:t>
      </w:r>
      <w:r>
        <w:rPr>
          <w:rFonts w:hint="eastAsia"/>
          <w:sz w:val="15"/>
          <w:szCs w:val="15"/>
        </w:rPr>
        <w:t xml:space="preserve">  </w:t>
      </w:r>
      <w:r>
        <w:rPr>
          <w:rFonts w:hint="eastAsia"/>
          <w:sz w:val="15"/>
          <w:szCs w:val="15"/>
          <w:lang w:val="en-US" w:eastAsia="zh-CN"/>
        </w:rPr>
        <w:t>沪A76301D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