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苏艳军</w:t>
      </w:r>
      <w:r>
        <w:rPr>
          <w:rFonts w:hint="eastAsia"/>
          <w:sz w:val="15"/>
          <w:szCs w:val="15"/>
          <w:highlight w:val="none"/>
        </w:rPr>
        <w:t>，</w:t>
      </w:r>
      <w:r>
        <w:rPr>
          <w:rFonts w:hint="eastAsia"/>
          <w:sz w:val="15"/>
          <w:szCs w:val="15"/>
          <w:highlight w:val="none"/>
          <w:lang w:val="en-US" w:eastAsia="zh-CN"/>
        </w:rPr>
        <w:t>13012619851013061X</w:t>
      </w:r>
      <w:r>
        <w:rPr>
          <w:rFonts w:hint="eastAsia"/>
          <w:sz w:val="15"/>
          <w:szCs w:val="15"/>
        </w:rPr>
        <w:t xml:space="preserve">  </w:t>
      </w:r>
      <w:r>
        <w:rPr>
          <w:rFonts w:hint="eastAsia"/>
          <w:sz w:val="15"/>
          <w:szCs w:val="15"/>
          <w:lang w:val="en-US" w:eastAsia="zh-CN"/>
        </w:rPr>
        <w:t>冀ACF621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