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赵伟强</w:t>
      </w:r>
      <w:r>
        <w:rPr>
          <w:rFonts w:hint="eastAsia"/>
          <w:sz w:val="15"/>
          <w:szCs w:val="15"/>
          <w:highlight w:val="none"/>
        </w:rPr>
        <w:t>，</w:t>
      </w:r>
      <w:r>
        <w:rPr>
          <w:rFonts w:hint="eastAsia"/>
          <w:sz w:val="15"/>
          <w:szCs w:val="15"/>
          <w:highlight w:val="none"/>
          <w:lang w:val="en-US" w:eastAsia="zh-CN"/>
        </w:rPr>
        <w:t>130126198508282710</w:t>
      </w:r>
      <w:r>
        <w:rPr>
          <w:rFonts w:hint="eastAsia"/>
          <w:sz w:val="15"/>
          <w:szCs w:val="15"/>
        </w:rPr>
        <w:t xml:space="preserve">  </w:t>
      </w:r>
      <w:r>
        <w:rPr>
          <w:rFonts w:hint="eastAsia"/>
          <w:sz w:val="15"/>
          <w:szCs w:val="15"/>
          <w:lang w:val="en-US" w:eastAsia="zh-CN"/>
        </w:rPr>
        <w:t>冀A044HG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