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胡金龙</w:t>
      </w:r>
      <w:r>
        <w:rPr>
          <w:rFonts w:hint="eastAsia"/>
          <w:sz w:val="15"/>
          <w:szCs w:val="15"/>
          <w:highlight w:val="none"/>
        </w:rPr>
        <w:t>，</w:t>
      </w:r>
      <w:r>
        <w:rPr>
          <w:rFonts w:hint="eastAsia"/>
          <w:sz w:val="15"/>
          <w:szCs w:val="15"/>
          <w:highlight w:val="none"/>
          <w:lang w:val="en-US" w:eastAsia="zh-CN"/>
        </w:rPr>
        <w:t>130126198508030919</w:t>
      </w:r>
      <w:r>
        <w:rPr>
          <w:rFonts w:hint="eastAsia"/>
          <w:sz w:val="15"/>
          <w:szCs w:val="15"/>
        </w:rPr>
        <w:t xml:space="preserve">  </w:t>
      </w:r>
      <w:r>
        <w:rPr>
          <w:rFonts w:hint="eastAsia"/>
          <w:sz w:val="15"/>
          <w:szCs w:val="15"/>
          <w:lang w:val="en-US" w:eastAsia="zh-CN"/>
        </w:rPr>
        <w:t>沪A02176A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