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索雪峰</w:t>
      </w:r>
      <w:r>
        <w:rPr>
          <w:rFonts w:hint="eastAsia"/>
          <w:sz w:val="15"/>
          <w:szCs w:val="15"/>
          <w:highlight w:val="none"/>
        </w:rPr>
        <w:t>，</w:t>
      </w:r>
      <w:r>
        <w:rPr>
          <w:rFonts w:hint="eastAsia"/>
          <w:sz w:val="15"/>
          <w:szCs w:val="15"/>
          <w:highlight w:val="none"/>
          <w:lang w:val="en-US" w:eastAsia="zh-CN"/>
        </w:rPr>
        <w:t>130126198507153036</w:t>
      </w:r>
      <w:r>
        <w:rPr>
          <w:rFonts w:hint="eastAsia"/>
          <w:sz w:val="15"/>
          <w:szCs w:val="15"/>
        </w:rPr>
        <w:t xml:space="preserve">  </w:t>
      </w:r>
      <w:r>
        <w:rPr>
          <w:rFonts w:hint="eastAsia"/>
          <w:sz w:val="15"/>
          <w:szCs w:val="15"/>
          <w:lang w:val="en-US" w:eastAsia="zh-CN"/>
        </w:rPr>
        <w:t>冀A8243Y</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