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康健</w:t>
      </w:r>
      <w:r>
        <w:rPr>
          <w:rFonts w:hint="eastAsia"/>
          <w:sz w:val="15"/>
          <w:szCs w:val="15"/>
          <w:highlight w:val="none"/>
        </w:rPr>
        <w:t>，</w:t>
      </w:r>
      <w:r>
        <w:rPr>
          <w:rFonts w:hint="eastAsia"/>
          <w:sz w:val="15"/>
          <w:szCs w:val="15"/>
          <w:highlight w:val="none"/>
          <w:lang w:val="en-US" w:eastAsia="zh-CN"/>
        </w:rPr>
        <w:t>130126198507102714</w:t>
      </w:r>
      <w:r>
        <w:rPr>
          <w:rFonts w:hint="eastAsia"/>
          <w:sz w:val="15"/>
          <w:szCs w:val="15"/>
        </w:rPr>
        <w:t xml:space="preserve">  </w:t>
      </w:r>
      <w:r>
        <w:rPr>
          <w:rFonts w:hint="eastAsia"/>
          <w:sz w:val="15"/>
          <w:szCs w:val="15"/>
          <w:lang w:val="en-US" w:eastAsia="zh-CN"/>
        </w:rPr>
        <w:t>冀A7193V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