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祁京昆</w:t>
      </w:r>
      <w:r>
        <w:rPr>
          <w:rFonts w:hint="eastAsia"/>
          <w:sz w:val="15"/>
          <w:szCs w:val="15"/>
          <w:highlight w:val="none"/>
        </w:rPr>
        <w:t>，</w:t>
      </w:r>
      <w:r>
        <w:rPr>
          <w:rFonts w:hint="eastAsia"/>
          <w:sz w:val="15"/>
          <w:szCs w:val="15"/>
          <w:highlight w:val="none"/>
          <w:lang w:val="en-US" w:eastAsia="zh-CN"/>
        </w:rPr>
        <w:t>130126198505022139</w:t>
      </w:r>
      <w:r>
        <w:rPr>
          <w:rFonts w:hint="eastAsia"/>
          <w:sz w:val="15"/>
          <w:szCs w:val="15"/>
        </w:rPr>
        <w:t xml:space="preserve">  </w:t>
      </w:r>
      <w:r>
        <w:rPr>
          <w:rFonts w:hint="eastAsia"/>
          <w:sz w:val="15"/>
          <w:szCs w:val="15"/>
          <w:lang w:val="en-US" w:eastAsia="zh-CN"/>
        </w:rPr>
        <w:t>冀A8047H</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