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张燕刚</w:t>
      </w:r>
      <w:r>
        <w:rPr>
          <w:rFonts w:hint="eastAsia"/>
          <w:sz w:val="15"/>
          <w:szCs w:val="15"/>
          <w:highlight w:val="none"/>
        </w:rPr>
        <w:t>，</w:t>
      </w:r>
      <w:r>
        <w:rPr>
          <w:rFonts w:hint="eastAsia"/>
          <w:sz w:val="15"/>
          <w:szCs w:val="15"/>
          <w:highlight w:val="none"/>
          <w:lang w:val="en-US" w:eastAsia="zh-CN"/>
        </w:rPr>
        <w:t>130126198504193358</w:t>
      </w:r>
      <w:r>
        <w:rPr>
          <w:rFonts w:hint="eastAsia"/>
          <w:sz w:val="15"/>
          <w:szCs w:val="15"/>
        </w:rPr>
        <w:t xml:space="preserve">  </w:t>
      </w:r>
      <w:r>
        <w:rPr>
          <w:rFonts w:hint="eastAsia"/>
          <w:sz w:val="15"/>
          <w:szCs w:val="15"/>
          <w:lang w:val="en-US" w:eastAsia="zh-CN"/>
        </w:rPr>
        <w:t>冀AC3299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