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杨金风</w:t>
      </w:r>
      <w:r>
        <w:rPr>
          <w:rFonts w:hint="eastAsia"/>
          <w:sz w:val="15"/>
          <w:szCs w:val="15"/>
          <w:highlight w:val="none"/>
        </w:rPr>
        <w:t>，</w:t>
      </w:r>
      <w:r>
        <w:rPr>
          <w:rFonts w:hint="eastAsia"/>
          <w:sz w:val="15"/>
          <w:szCs w:val="15"/>
          <w:highlight w:val="none"/>
          <w:lang w:val="en-US" w:eastAsia="zh-CN"/>
        </w:rPr>
        <w:t>130126198504091538</w:t>
      </w:r>
      <w:r>
        <w:rPr>
          <w:rFonts w:hint="eastAsia"/>
          <w:sz w:val="15"/>
          <w:szCs w:val="15"/>
        </w:rPr>
        <w:t xml:space="preserve">  </w:t>
      </w:r>
      <w:r>
        <w:rPr>
          <w:rFonts w:hint="eastAsia"/>
          <w:sz w:val="15"/>
          <w:szCs w:val="15"/>
          <w:lang w:val="en-US" w:eastAsia="zh-CN"/>
        </w:rPr>
        <w:t>冀A53455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