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韩杰宾</w:t>
      </w:r>
      <w:r>
        <w:rPr>
          <w:rFonts w:hint="eastAsia"/>
          <w:sz w:val="15"/>
          <w:szCs w:val="15"/>
          <w:highlight w:val="none"/>
        </w:rPr>
        <w:t>，</w:t>
      </w:r>
      <w:r>
        <w:rPr>
          <w:rFonts w:hint="eastAsia"/>
          <w:sz w:val="15"/>
          <w:szCs w:val="15"/>
          <w:highlight w:val="none"/>
          <w:lang w:val="en-US" w:eastAsia="zh-CN"/>
        </w:rPr>
        <w:t>130126198503112771</w:t>
      </w:r>
      <w:r>
        <w:rPr>
          <w:rFonts w:hint="eastAsia"/>
          <w:sz w:val="15"/>
          <w:szCs w:val="15"/>
        </w:rPr>
        <w:t xml:space="preserve">  </w:t>
      </w:r>
      <w:r>
        <w:rPr>
          <w:rFonts w:hint="eastAsia"/>
          <w:sz w:val="15"/>
          <w:szCs w:val="15"/>
          <w:lang w:val="en-US" w:eastAsia="zh-CN"/>
        </w:rPr>
        <w:t>冀APQ374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