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许雪刚</w:t>
      </w:r>
      <w:r>
        <w:rPr>
          <w:rFonts w:hint="eastAsia"/>
          <w:sz w:val="15"/>
          <w:szCs w:val="15"/>
          <w:highlight w:val="none"/>
        </w:rPr>
        <w:t>，</w:t>
      </w:r>
      <w:r>
        <w:rPr>
          <w:rFonts w:hint="eastAsia"/>
          <w:sz w:val="15"/>
          <w:szCs w:val="15"/>
          <w:highlight w:val="none"/>
          <w:lang w:val="en-US" w:eastAsia="zh-CN"/>
        </w:rPr>
        <w:t>13012619850205061X</w:t>
      </w:r>
      <w:r>
        <w:rPr>
          <w:rFonts w:hint="eastAsia"/>
          <w:sz w:val="15"/>
          <w:szCs w:val="15"/>
        </w:rPr>
        <w:t xml:space="preserve">  </w:t>
      </w:r>
      <w:r>
        <w:rPr>
          <w:rFonts w:hint="eastAsia"/>
          <w:sz w:val="15"/>
          <w:szCs w:val="15"/>
          <w:lang w:val="en-US" w:eastAsia="zh-CN"/>
        </w:rPr>
        <w:t>冀AKK168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