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秘利燕</w:t>
      </w:r>
      <w:r>
        <w:rPr>
          <w:rFonts w:hint="eastAsia"/>
          <w:sz w:val="15"/>
          <w:szCs w:val="15"/>
          <w:highlight w:val="none"/>
        </w:rPr>
        <w:t>，</w:t>
      </w:r>
      <w:r>
        <w:rPr>
          <w:rFonts w:hint="eastAsia"/>
          <w:sz w:val="15"/>
          <w:szCs w:val="15"/>
          <w:highlight w:val="none"/>
          <w:lang w:val="en-US" w:eastAsia="zh-CN"/>
        </w:rPr>
        <w:t>130126198412202747</w:t>
      </w:r>
      <w:r>
        <w:rPr>
          <w:rFonts w:hint="eastAsia"/>
          <w:sz w:val="15"/>
          <w:szCs w:val="15"/>
        </w:rPr>
        <w:t xml:space="preserve">  </w:t>
      </w:r>
      <w:r>
        <w:rPr>
          <w:rFonts w:hint="eastAsia"/>
          <w:sz w:val="15"/>
          <w:szCs w:val="15"/>
          <w:lang w:val="en-US" w:eastAsia="zh-CN"/>
        </w:rPr>
        <w:t>冀A58349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