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高振伟</w:t>
      </w:r>
      <w:r>
        <w:rPr>
          <w:rFonts w:hint="eastAsia"/>
          <w:sz w:val="15"/>
          <w:szCs w:val="15"/>
          <w:highlight w:val="none"/>
        </w:rPr>
        <w:t>，</w:t>
      </w:r>
      <w:r>
        <w:rPr>
          <w:rFonts w:hint="eastAsia"/>
          <w:sz w:val="15"/>
          <w:szCs w:val="15"/>
          <w:highlight w:val="none"/>
          <w:lang w:val="en-US" w:eastAsia="zh-CN"/>
        </w:rPr>
        <w:t>130126198412170618</w:t>
      </w:r>
      <w:r>
        <w:rPr>
          <w:rFonts w:hint="eastAsia"/>
          <w:sz w:val="15"/>
          <w:szCs w:val="15"/>
        </w:rPr>
        <w:t xml:space="preserve">  </w:t>
      </w:r>
      <w:r>
        <w:rPr>
          <w:rFonts w:hint="eastAsia"/>
          <w:sz w:val="15"/>
          <w:szCs w:val="15"/>
          <w:lang w:val="en-US" w:eastAsia="zh-CN"/>
        </w:rPr>
        <w:t>沪A76893D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