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聂金江</w:t>
      </w:r>
      <w:r>
        <w:rPr>
          <w:rFonts w:hint="eastAsia"/>
          <w:sz w:val="15"/>
          <w:szCs w:val="15"/>
          <w:highlight w:val="none"/>
        </w:rPr>
        <w:t>，</w:t>
      </w:r>
      <w:r>
        <w:rPr>
          <w:rFonts w:hint="eastAsia"/>
          <w:sz w:val="15"/>
          <w:szCs w:val="15"/>
          <w:highlight w:val="none"/>
          <w:lang w:val="en-US" w:eastAsia="zh-CN"/>
        </w:rPr>
        <w:t>130126198410270615</w:t>
      </w:r>
      <w:r>
        <w:rPr>
          <w:rFonts w:hint="eastAsia"/>
          <w:sz w:val="15"/>
          <w:szCs w:val="15"/>
        </w:rPr>
        <w:t xml:space="preserve">  </w:t>
      </w:r>
      <w:r>
        <w:rPr>
          <w:rFonts w:hint="eastAsia"/>
          <w:sz w:val="15"/>
          <w:szCs w:val="15"/>
          <w:lang w:val="en-US" w:eastAsia="zh-CN"/>
        </w:rPr>
        <w:t>冀A5548V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