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王永奇</w:t>
      </w:r>
      <w:r>
        <w:rPr>
          <w:rFonts w:hint="eastAsia"/>
          <w:sz w:val="15"/>
          <w:szCs w:val="15"/>
          <w:highlight w:val="none"/>
        </w:rPr>
        <w:t>，</w:t>
      </w:r>
      <w:r>
        <w:rPr>
          <w:rFonts w:hint="eastAsia"/>
          <w:sz w:val="15"/>
          <w:szCs w:val="15"/>
          <w:highlight w:val="none"/>
          <w:lang w:val="en-US" w:eastAsia="zh-CN"/>
        </w:rPr>
        <w:t>130126198409141218</w:t>
      </w:r>
      <w:r>
        <w:rPr>
          <w:rFonts w:hint="eastAsia"/>
          <w:sz w:val="15"/>
          <w:szCs w:val="15"/>
        </w:rPr>
        <w:t xml:space="preserve">  </w:t>
      </w:r>
      <w:r>
        <w:rPr>
          <w:rFonts w:hint="eastAsia"/>
          <w:sz w:val="15"/>
          <w:szCs w:val="15"/>
          <w:lang w:val="en-US" w:eastAsia="zh-CN"/>
        </w:rPr>
        <w:t>冀A642V8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