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尚子龙</w:t>
      </w:r>
      <w:r>
        <w:rPr>
          <w:rFonts w:hint="eastAsia"/>
          <w:sz w:val="15"/>
          <w:szCs w:val="15"/>
          <w:highlight w:val="none"/>
        </w:rPr>
        <w:t>，</w:t>
      </w:r>
      <w:r>
        <w:rPr>
          <w:rFonts w:hint="eastAsia"/>
          <w:sz w:val="15"/>
          <w:szCs w:val="15"/>
          <w:highlight w:val="none"/>
          <w:lang w:val="en-US" w:eastAsia="zh-CN"/>
        </w:rPr>
        <w:t>130126198407203016</w:t>
      </w:r>
      <w:r>
        <w:rPr>
          <w:rFonts w:hint="eastAsia"/>
          <w:sz w:val="15"/>
          <w:szCs w:val="15"/>
        </w:rPr>
        <w:t xml:space="preserve">  </w:t>
      </w:r>
      <w:r>
        <w:rPr>
          <w:rFonts w:hint="eastAsia"/>
          <w:sz w:val="15"/>
          <w:szCs w:val="15"/>
          <w:lang w:val="en-US" w:eastAsia="zh-CN"/>
        </w:rPr>
        <w:t>冀A34485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