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单海刚</w:t>
      </w:r>
      <w:r>
        <w:rPr>
          <w:rFonts w:hint="eastAsia"/>
          <w:sz w:val="15"/>
          <w:szCs w:val="15"/>
          <w:highlight w:val="none"/>
        </w:rPr>
        <w:t>，</w:t>
      </w:r>
      <w:r>
        <w:rPr>
          <w:rFonts w:hint="eastAsia"/>
          <w:sz w:val="15"/>
          <w:szCs w:val="15"/>
          <w:highlight w:val="none"/>
          <w:lang w:val="en-US" w:eastAsia="zh-CN"/>
        </w:rPr>
        <w:t>130126198407163018</w:t>
      </w:r>
      <w:r>
        <w:rPr>
          <w:rFonts w:hint="eastAsia"/>
          <w:sz w:val="15"/>
          <w:szCs w:val="15"/>
        </w:rPr>
        <w:t xml:space="preserve">  </w:t>
      </w:r>
      <w:r>
        <w:rPr>
          <w:rFonts w:hint="eastAsia"/>
          <w:sz w:val="15"/>
          <w:szCs w:val="15"/>
          <w:lang w:val="en-US" w:eastAsia="zh-CN"/>
        </w:rPr>
        <w:t>冀A0W059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