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田习龙</w:t>
      </w:r>
      <w:r>
        <w:rPr>
          <w:rFonts w:hint="eastAsia"/>
          <w:sz w:val="15"/>
          <w:szCs w:val="15"/>
          <w:highlight w:val="none"/>
        </w:rPr>
        <w:t>，</w:t>
      </w:r>
      <w:r>
        <w:rPr>
          <w:rFonts w:hint="eastAsia"/>
          <w:sz w:val="15"/>
          <w:szCs w:val="15"/>
          <w:highlight w:val="none"/>
          <w:lang w:val="en-US" w:eastAsia="zh-CN"/>
        </w:rPr>
        <w:t>130126198406250013</w:t>
      </w:r>
      <w:r>
        <w:rPr>
          <w:rFonts w:hint="eastAsia"/>
          <w:sz w:val="15"/>
          <w:szCs w:val="15"/>
        </w:rPr>
        <w:t xml:space="preserve">  </w:t>
      </w:r>
      <w:r>
        <w:rPr>
          <w:rFonts w:hint="eastAsia"/>
          <w:sz w:val="15"/>
          <w:szCs w:val="15"/>
          <w:lang w:val="en-US" w:eastAsia="zh-CN"/>
        </w:rPr>
        <w:t>冀AUY034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