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吴卫建</w:t>
      </w:r>
      <w:r>
        <w:rPr>
          <w:rFonts w:hint="eastAsia"/>
          <w:sz w:val="15"/>
          <w:szCs w:val="15"/>
          <w:highlight w:val="none"/>
        </w:rPr>
        <w:t>，</w:t>
      </w:r>
      <w:r>
        <w:rPr>
          <w:rFonts w:hint="eastAsia"/>
          <w:sz w:val="15"/>
          <w:szCs w:val="15"/>
          <w:highlight w:val="none"/>
          <w:lang w:val="en-US" w:eastAsia="zh-CN"/>
        </w:rPr>
        <w:t>130126198406160018</w:t>
      </w:r>
      <w:r>
        <w:rPr>
          <w:rFonts w:hint="eastAsia"/>
          <w:sz w:val="15"/>
          <w:szCs w:val="15"/>
        </w:rPr>
        <w:t xml:space="preserve">  </w:t>
      </w:r>
      <w:r>
        <w:rPr>
          <w:rFonts w:hint="eastAsia"/>
          <w:sz w:val="15"/>
          <w:szCs w:val="15"/>
          <w:lang w:val="en-US" w:eastAsia="zh-CN"/>
        </w:rPr>
        <w:t>冀A7882W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