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安文菊</w:t>
      </w:r>
      <w:r>
        <w:rPr>
          <w:rFonts w:hint="eastAsia"/>
          <w:sz w:val="15"/>
          <w:szCs w:val="15"/>
          <w:highlight w:val="none"/>
        </w:rPr>
        <w:t>，</w:t>
      </w:r>
      <w:r>
        <w:rPr>
          <w:rFonts w:hint="eastAsia"/>
          <w:sz w:val="15"/>
          <w:szCs w:val="15"/>
          <w:highlight w:val="none"/>
          <w:lang w:val="en-US" w:eastAsia="zh-CN"/>
        </w:rPr>
        <w:t>130126198405263023</w:t>
      </w:r>
      <w:r>
        <w:rPr>
          <w:rFonts w:hint="eastAsia"/>
          <w:sz w:val="15"/>
          <w:szCs w:val="15"/>
        </w:rPr>
        <w:t xml:space="preserve">  </w:t>
      </w:r>
      <w:r>
        <w:rPr>
          <w:rFonts w:hint="eastAsia"/>
          <w:sz w:val="15"/>
          <w:szCs w:val="15"/>
          <w:lang w:val="en-US" w:eastAsia="zh-CN"/>
        </w:rPr>
        <w:t>冀A8A199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