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崔立杰</w:t>
      </w:r>
      <w:r>
        <w:rPr>
          <w:rFonts w:hint="eastAsia"/>
          <w:sz w:val="15"/>
          <w:szCs w:val="15"/>
          <w:highlight w:val="none"/>
        </w:rPr>
        <w:t>，</w:t>
      </w:r>
      <w:r>
        <w:rPr>
          <w:rFonts w:hint="eastAsia"/>
          <w:sz w:val="15"/>
          <w:szCs w:val="15"/>
          <w:highlight w:val="none"/>
          <w:lang w:val="en-US" w:eastAsia="zh-CN"/>
        </w:rPr>
        <w:t>130126198405130335</w:t>
      </w:r>
      <w:r>
        <w:rPr>
          <w:rFonts w:hint="eastAsia"/>
          <w:sz w:val="15"/>
          <w:szCs w:val="15"/>
        </w:rPr>
        <w:t xml:space="preserve">  </w:t>
      </w:r>
      <w:r>
        <w:rPr>
          <w:rFonts w:hint="eastAsia"/>
          <w:sz w:val="15"/>
          <w:szCs w:val="15"/>
          <w:lang w:val="en-US" w:eastAsia="zh-CN"/>
        </w:rPr>
        <w:t>冀AL5438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