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白宝哲</w:t>
      </w:r>
      <w:r>
        <w:rPr>
          <w:rFonts w:hint="eastAsia"/>
          <w:sz w:val="15"/>
          <w:szCs w:val="15"/>
          <w:highlight w:val="none"/>
        </w:rPr>
        <w:t>，</w:t>
      </w:r>
      <w:r>
        <w:rPr>
          <w:rFonts w:hint="eastAsia"/>
          <w:sz w:val="15"/>
          <w:szCs w:val="15"/>
          <w:highlight w:val="none"/>
          <w:lang w:val="en-US" w:eastAsia="zh-CN"/>
        </w:rPr>
        <w:t>130126198403260312</w:t>
      </w:r>
      <w:r>
        <w:rPr>
          <w:rFonts w:hint="eastAsia"/>
          <w:sz w:val="15"/>
          <w:szCs w:val="15"/>
        </w:rPr>
        <w:t xml:space="preserve">  </w:t>
      </w:r>
      <w:r>
        <w:rPr>
          <w:rFonts w:hint="eastAsia"/>
          <w:sz w:val="15"/>
          <w:szCs w:val="15"/>
          <w:lang w:val="en-US" w:eastAsia="zh-CN"/>
        </w:rPr>
        <w:t>冀A32311D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