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冯艳国</w:t>
      </w:r>
      <w:r>
        <w:rPr>
          <w:rFonts w:hint="eastAsia"/>
          <w:sz w:val="15"/>
          <w:szCs w:val="15"/>
          <w:highlight w:val="none"/>
        </w:rPr>
        <w:t>，</w:t>
      </w:r>
      <w:r>
        <w:rPr>
          <w:rFonts w:hint="eastAsia"/>
          <w:sz w:val="15"/>
          <w:szCs w:val="15"/>
          <w:highlight w:val="none"/>
          <w:lang w:val="en-US" w:eastAsia="zh-CN"/>
        </w:rPr>
        <w:t>130126198402212714</w:t>
      </w:r>
      <w:r>
        <w:rPr>
          <w:rFonts w:hint="eastAsia"/>
          <w:sz w:val="15"/>
          <w:szCs w:val="15"/>
        </w:rPr>
        <w:t xml:space="preserve">  </w:t>
      </w:r>
      <w:r>
        <w:rPr>
          <w:rFonts w:hint="eastAsia"/>
          <w:sz w:val="15"/>
          <w:szCs w:val="15"/>
          <w:lang w:val="en-US" w:eastAsia="zh-CN"/>
        </w:rPr>
        <w:t>冀A8782Z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