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李艳鹏</w:t>
      </w:r>
      <w:r>
        <w:rPr>
          <w:rFonts w:hint="eastAsia"/>
          <w:sz w:val="15"/>
          <w:szCs w:val="15"/>
          <w:highlight w:val="none"/>
        </w:rPr>
        <w:t>，</w:t>
      </w:r>
      <w:r>
        <w:rPr>
          <w:rFonts w:hint="eastAsia"/>
          <w:sz w:val="15"/>
          <w:szCs w:val="15"/>
          <w:highlight w:val="none"/>
          <w:lang w:val="en-US" w:eastAsia="zh-CN"/>
        </w:rPr>
        <w:t>130126198401140034</w:t>
      </w:r>
      <w:r>
        <w:rPr>
          <w:rFonts w:hint="eastAsia"/>
          <w:sz w:val="15"/>
          <w:szCs w:val="15"/>
        </w:rPr>
        <w:t xml:space="preserve">  </w:t>
      </w:r>
      <w:r>
        <w:rPr>
          <w:rFonts w:hint="eastAsia"/>
          <w:sz w:val="15"/>
          <w:szCs w:val="15"/>
          <w:lang w:val="en-US" w:eastAsia="zh-CN"/>
        </w:rPr>
        <w:t>冀AC3418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