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张岩敏</w:t>
      </w:r>
      <w:r>
        <w:rPr>
          <w:rFonts w:hint="eastAsia"/>
          <w:sz w:val="15"/>
          <w:szCs w:val="15"/>
          <w:highlight w:val="none"/>
        </w:rPr>
        <w:t>，</w:t>
      </w:r>
      <w:r>
        <w:rPr>
          <w:rFonts w:hint="eastAsia"/>
          <w:sz w:val="15"/>
          <w:szCs w:val="15"/>
          <w:highlight w:val="none"/>
          <w:lang w:val="en-US" w:eastAsia="zh-CN"/>
        </w:rPr>
        <w:t>13012619831113305X</w:t>
      </w:r>
      <w:r>
        <w:rPr>
          <w:rFonts w:hint="eastAsia"/>
          <w:sz w:val="15"/>
          <w:szCs w:val="15"/>
        </w:rPr>
        <w:t xml:space="preserve">  </w:t>
      </w:r>
      <w:r>
        <w:rPr>
          <w:rFonts w:hint="eastAsia"/>
          <w:sz w:val="15"/>
          <w:szCs w:val="15"/>
          <w:lang w:val="en-US" w:eastAsia="zh-CN"/>
        </w:rPr>
        <w:t>冀AGQ546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