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马京奇</w:t>
      </w:r>
      <w:r>
        <w:rPr>
          <w:rFonts w:hint="eastAsia"/>
          <w:sz w:val="15"/>
          <w:szCs w:val="15"/>
          <w:highlight w:val="none"/>
        </w:rPr>
        <w:t>，</w:t>
      </w:r>
      <w:r>
        <w:rPr>
          <w:rFonts w:hint="eastAsia"/>
          <w:sz w:val="15"/>
          <w:szCs w:val="15"/>
          <w:highlight w:val="none"/>
          <w:lang w:val="en-US" w:eastAsia="zh-CN"/>
        </w:rPr>
        <w:t>130126198311083013</w:t>
      </w:r>
      <w:r>
        <w:rPr>
          <w:rFonts w:hint="eastAsia"/>
          <w:sz w:val="15"/>
          <w:szCs w:val="15"/>
        </w:rPr>
        <w:t xml:space="preserve">  </w:t>
      </w:r>
      <w:r>
        <w:rPr>
          <w:rFonts w:hint="eastAsia"/>
          <w:sz w:val="15"/>
          <w:szCs w:val="15"/>
          <w:lang w:val="en-US" w:eastAsia="zh-CN"/>
        </w:rPr>
        <w:t>冀AF5712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