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刘彦峰</w:t>
      </w:r>
      <w:r>
        <w:rPr>
          <w:rFonts w:hint="eastAsia"/>
          <w:sz w:val="15"/>
          <w:szCs w:val="15"/>
          <w:highlight w:val="none"/>
        </w:rPr>
        <w:t>，</w:t>
      </w:r>
      <w:r>
        <w:rPr>
          <w:rFonts w:hint="eastAsia"/>
          <w:sz w:val="15"/>
          <w:szCs w:val="15"/>
          <w:highlight w:val="none"/>
          <w:lang w:val="en-US" w:eastAsia="zh-CN"/>
        </w:rPr>
        <w:t>130126198309153035</w:t>
      </w:r>
      <w:r>
        <w:rPr>
          <w:rFonts w:hint="eastAsia"/>
          <w:sz w:val="15"/>
          <w:szCs w:val="15"/>
        </w:rPr>
        <w:t xml:space="preserve">  </w:t>
      </w:r>
      <w:r>
        <w:rPr>
          <w:rFonts w:hint="eastAsia"/>
          <w:sz w:val="15"/>
          <w:szCs w:val="15"/>
          <w:lang w:val="en-US" w:eastAsia="zh-CN"/>
        </w:rPr>
        <w:t>冀A79731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