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赵振江</w:t>
      </w:r>
      <w:r>
        <w:rPr>
          <w:rFonts w:hint="eastAsia"/>
          <w:sz w:val="15"/>
          <w:szCs w:val="15"/>
          <w:highlight w:val="none"/>
        </w:rPr>
        <w:t>，</w:t>
      </w:r>
      <w:r>
        <w:rPr>
          <w:rFonts w:hint="eastAsia"/>
          <w:sz w:val="15"/>
          <w:szCs w:val="15"/>
          <w:highlight w:val="none"/>
          <w:lang w:val="en-US" w:eastAsia="zh-CN"/>
        </w:rPr>
        <w:t>130126198308192737</w:t>
      </w:r>
      <w:r>
        <w:rPr>
          <w:rFonts w:hint="eastAsia"/>
          <w:sz w:val="15"/>
          <w:szCs w:val="15"/>
        </w:rPr>
        <w:t xml:space="preserve">  </w:t>
      </w:r>
      <w:r>
        <w:rPr>
          <w:rFonts w:hint="eastAsia"/>
          <w:sz w:val="15"/>
          <w:szCs w:val="15"/>
          <w:lang w:val="en-US" w:eastAsia="zh-CN"/>
        </w:rPr>
        <w:t>冀A7476T</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