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尚志霞</w:t>
      </w:r>
      <w:r>
        <w:rPr>
          <w:rFonts w:hint="eastAsia"/>
          <w:sz w:val="15"/>
          <w:szCs w:val="15"/>
          <w:highlight w:val="none"/>
        </w:rPr>
        <w:t>，</w:t>
      </w:r>
      <w:r>
        <w:rPr>
          <w:rFonts w:hint="eastAsia"/>
          <w:sz w:val="15"/>
          <w:szCs w:val="15"/>
          <w:highlight w:val="none"/>
          <w:lang w:val="en-US" w:eastAsia="zh-CN"/>
        </w:rPr>
        <w:t>130126198308023028</w:t>
      </w:r>
      <w:r>
        <w:rPr>
          <w:rFonts w:hint="eastAsia"/>
          <w:sz w:val="15"/>
          <w:szCs w:val="15"/>
        </w:rPr>
        <w:t xml:space="preserve">  </w:t>
      </w:r>
      <w:r>
        <w:rPr>
          <w:rFonts w:hint="eastAsia"/>
          <w:sz w:val="15"/>
          <w:szCs w:val="15"/>
          <w:lang w:val="en-US" w:eastAsia="zh-CN"/>
        </w:rPr>
        <w:t>冀AH4869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