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赵永光</w:t>
      </w:r>
      <w:r>
        <w:rPr>
          <w:rFonts w:hint="eastAsia"/>
          <w:sz w:val="15"/>
          <w:szCs w:val="15"/>
          <w:highlight w:val="none"/>
        </w:rPr>
        <w:t>，</w:t>
      </w:r>
      <w:r>
        <w:rPr>
          <w:rFonts w:hint="eastAsia"/>
          <w:sz w:val="15"/>
          <w:szCs w:val="15"/>
          <w:highlight w:val="none"/>
          <w:lang w:val="en-US" w:eastAsia="zh-CN"/>
        </w:rPr>
        <w:t>130126198307060054</w:t>
      </w:r>
      <w:r>
        <w:rPr>
          <w:rFonts w:hint="eastAsia"/>
          <w:sz w:val="15"/>
          <w:szCs w:val="15"/>
        </w:rPr>
        <w:t xml:space="preserve">  </w:t>
      </w:r>
      <w:r>
        <w:rPr>
          <w:rFonts w:hint="eastAsia"/>
          <w:sz w:val="15"/>
          <w:szCs w:val="15"/>
          <w:lang w:val="en-US" w:eastAsia="zh-CN"/>
        </w:rPr>
        <w:t>冀A34632D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